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E1" w:rsidRPr="00F9111B" w:rsidRDefault="00DD5BBB" w:rsidP="006B6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</w:p>
    <w:p w:rsidR="00957CE1" w:rsidRPr="00F9111B" w:rsidRDefault="00DD5BBB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SKUPŠTINA</w:t>
      </w:r>
    </w:p>
    <w:p w:rsidR="00957CE1" w:rsidRPr="00F9111B" w:rsidRDefault="00DD5BBB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957CE1" w:rsidRPr="00F9111B" w:rsidRDefault="00957CE1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20 </w:t>
      </w:r>
      <w:r w:rsidR="00DD5BB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: 06-2/1</w:t>
      </w:r>
      <w:r w:rsidR="000C602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57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-24</w:t>
      </w:r>
    </w:p>
    <w:p w:rsidR="00957CE1" w:rsidRPr="00F9111B" w:rsidRDefault="000C6028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6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D5BB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decembar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2024. </w:t>
      </w:r>
      <w:r w:rsidR="00DD5BB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957CE1" w:rsidRPr="00F9111B" w:rsidRDefault="00DD5BBB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</w:p>
    <w:p w:rsidR="00957CE1" w:rsidRPr="00F9111B" w:rsidRDefault="00957CE1" w:rsidP="0095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957CE1" w:rsidP="0095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957CE1" w:rsidP="0095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DD5BBB" w:rsidP="0095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</w:t>
      </w:r>
    </w:p>
    <w:p w:rsidR="00957CE1" w:rsidRPr="00F9111B" w:rsidRDefault="00DD5BBB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DEVETE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SEDNICE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957CE1" w:rsidRPr="00F9111B" w:rsidRDefault="00DD5BBB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</w:p>
    <w:p w:rsidR="00957CE1" w:rsidRPr="00F9111B" w:rsidRDefault="00DD5BBB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SREDA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B1741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20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NOVEMBAR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</w:t>
      </w:r>
      <w:r w:rsidR="00D11CA2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24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957CE1" w:rsidRPr="00F9111B" w:rsidRDefault="00957CE1" w:rsidP="0095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911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</w:t>
      </w:r>
    </w:p>
    <w:p w:rsidR="00957CE1" w:rsidRPr="00F9111B" w:rsidRDefault="00957CE1" w:rsidP="0095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Default="00D11CA2" w:rsidP="00A90D2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911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910E0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E97BE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A90D22" w:rsidRDefault="00077BC1" w:rsidP="00A90D22">
      <w:pPr>
        <w:spacing w:after="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57CE1" w:rsidRPr="00AD3FA0" w:rsidRDefault="00957CE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57CE1" w:rsidRPr="00A90D22" w:rsidRDefault="00957CE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:rsidR="005F6C86" w:rsidRPr="00D80BA2" w:rsidRDefault="00E97BE9" w:rsidP="00A90D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Radin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D11C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Džajić</w:t>
      </w:r>
      <w:r w:rsidR="00D11C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Stanislava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Janošević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6C86" w:rsidRPr="00D80BA2" w:rsidRDefault="005F6C86" w:rsidP="00A90D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57CE1" w:rsidRPr="00910E07" w:rsidRDefault="00DD5BBB" w:rsidP="00A90D2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05E45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05E45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B05E45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Zagorka</w:t>
      </w:r>
      <w:r w:rsidR="00184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184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F6C86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5F6C86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5F6C86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5F6C86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Diligenski</w:t>
      </w:r>
      <w:r w:rsidR="00E97BE9" w:rsidRPr="00D80B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84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naknadno</w:t>
      </w:r>
      <w:r w:rsidR="00184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84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pristupio</w:t>
      </w:r>
      <w:r w:rsidR="00184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4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18444F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184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E97BE9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E97BE9" w:rsidRPr="00910E07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077BC1" w:rsidRPr="00910E07" w:rsidRDefault="00077BC1" w:rsidP="00A90D22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  <w:lang w:val="sr-Cyrl-RS"/>
        </w:rPr>
      </w:pPr>
    </w:p>
    <w:p w:rsidR="00957CE1" w:rsidRPr="00D80BA2" w:rsidRDefault="00DD5BBB" w:rsidP="00A90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dbora</w:t>
      </w:r>
      <w:r w:rsidR="005013AE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013AE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013AE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D80BA2" w:rsidRDefault="00077BC1" w:rsidP="00A90D22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386C7D" w:rsidRPr="00D80BA2" w:rsidRDefault="00DD5BBB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Savović</w:t>
      </w:r>
      <w:r w:rsidR="00386C7D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386C7D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386C7D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Stamatović</w:t>
      </w:r>
      <w:r w:rsidR="00386C7D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386C7D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Petrašinović</w:t>
      </w:r>
      <w:r w:rsidR="00386C7D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86C7D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386C7D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Rajičić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386C7D" w:rsidRPr="00D80B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6C7D" w:rsidRPr="0018444F" w:rsidRDefault="00386C7D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386C7D" w:rsidRPr="0028349C" w:rsidRDefault="00DD5BBB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odsutnih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9C058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9C058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9C058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="009C058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058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Marušić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77BC1" w:rsidRPr="0028349C" w:rsidRDefault="00077BC1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5F59A0" w:rsidRPr="00935100" w:rsidRDefault="00E97BE9" w:rsidP="00A9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E0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66D4B" w:rsidRPr="00D21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66D4B" w:rsidRPr="00D21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66D4B" w:rsidRPr="00D21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59A0" w:rsidRPr="00D21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28349C" w:rsidRPr="00D21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8349C" w:rsidRPr="00D21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28349C" w:rsidRPr="00D21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349C" w:rsidRPr="00D21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="0028349C" w:rsidRPr="00D21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28349C" w:rsidRPr="00D21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184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Roskić</w:t>
      </w:r>
      <w:r w:rsidR="001844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184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1844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26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349C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28349C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Neđić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normativne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Sladić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normativne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harmonizaciju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Sović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šumarsku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šume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Sekulić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ishranu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Davidović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akcize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duvan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fiskalne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kase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naknadno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pristupio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Gašić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igre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sreću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Mrdak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Neda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93510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Gudžulić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elektroenergetiku</w:t>
      </w:r>
      <w:r w:rsidR="006829C0" w:rsidRPr="009351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2159A" w:rsidRPr="00927DE5" w:rsidRDefault="00DD5BBB" w:rsidP="00927D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6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A26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6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A26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A26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2159A" w:rsidRPr="00927DE5" w:rsidRDefault="00D2159A" w:rsidP="00A9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7BC1" w:rsidRPr="00927DE5" w:rsidRDefault="00077BC1" w:rsidP="00A9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D3FA0" w:rsidRDefault="00DD5BBB" w:rsidP="00A60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Dnevni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60AA7" w:rsidRPr="00CA22B2" w:rsidRDefault="00A60AA7" w:rsidP="00A60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2B2" w:rsidRPr="00F96693" w:rsidRDefault="00DD5BBB" w:rsidP="003002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3002B2" w:rsidRPr="00F96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3002B2" w:rsidRPr="00F96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 w:rsidR="003002B2" w:rsidRPr="00F96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02B2" w:rsidRPr="00F96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="003002B2" w:rsidRPr="00F96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3002B2" w:rsidRPr="00F96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002B2" w:rsidRPr="00F9669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3002B2" w:rsidRPr="00F96693" w:rsidRDefault="003002B2" w:rsidP="00300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0C87" w:rsidRDefault="00DD5BBB" w:rsidP="003002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uvozu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dvostruke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011-2315/24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74BB9" w:rsidRPr="001F0C87" w:rsidRDefault="00DD5BBB" w:rsidP="00A74BB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7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7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7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reproduktivnom</w:t>
      </w:r>
      <w:r w:rsidR="00A7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materijalu</w:t>
      </w:r>
      <w:r w:rsidR="00A7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šumskog</w:t>
      </w:r>
      <w:r w:rsidR="00A7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drveća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011-23</w:t>
      </w:r>
      <w:r w:rsidR="00A74BB9"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BB9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74BB9" w:rsidRPr="001F0C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20591" w:rsidRPr="001F0C87" w:rsidRDefault="00DD5BBB" w:rsidP="00D205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20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0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D20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20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0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D20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sorti</w:t>
      </w:r>
      <w:r w:rsidR="00D20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D20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011-23</w:t>
      </w:r>
      <w:r w:rsidR="00D20591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591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D20591" w:rsidRPr="001F0C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961EE" w:rsidRPr="001F0C87" w:rsidRDefault="00DD5BBB" w:rsidP="00996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96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6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996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96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6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996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6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dodatu</w:t>
      </w:r>
      <w:r w:rsidR="00996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011-2</w:t>
      </w:r>
      <w:r w:rsidR="009961EE">
        <w:rPr>
          <w:rFonts w:ascii="Times New Roman" w:hAnsi="Times New Roman" w:cs="Times New Roman"/>
          <w:sz w:val="24"/>
          <w:szCs w:val="24"/>
          <w:lang w:val="sr-Cyrl-RS"/>
        </w:rPr>
        <w:t>571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1E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961EE" w:rsidRPr="001F0C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961EE" w:rsidRPr="001F0C87" w:rsidRDefault="00DD5BBB" w:rsidP="00996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011-2</w:t>
      </w:r>
      <w:r w:rsidR="001A1648">
        <w:rPr>
          <w:rFonts w:ascii="Times New Roman" w:hAnsi="Times New Roman" w:cs="Times New Roman"/>
          <w:sz w:val="24"/>
          <w:szCs w:val="24"/>
          <w:lang w:val="sr-Cyrl-RS"/>
        </w:rPr>
        <w:t>646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164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1648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ED" w:rsidRPr="001F0C87" w:rsidRDefault="00DD5BBB" w:rsidP="00EB3A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igrama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sreću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011-2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>674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3AED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DF71E1" w:rsidRPr="001F0C87" w:rsidRDefault="00DD5BBB" w:rsidP="00DF71E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DF7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011-2</w:t>
      </w:r>
      <w:r w:rsidR="00DF71E1">
        <w:rPr>
          <w:rFonts w:ascii="Times New Roman" w:hAnsi="Times New Roman" w:cs="Times New Roman"/>
          <w:sz w:val="24"/>
          <w:szCs w:val="24"/>
          <w:lang w:val="sr-Cyrl-RS"/>
        </w:rPr>
        <w:t>662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1E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71E1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61563" w:rsidRPr="001F0C87" w:rsidRDefault="00DD5BBB" w:rsidP="00B615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1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61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1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61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1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1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B615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011-2</w:t>
      </w:r>
      <w:r w:rsidR="00B61563">
        <w:rPr>
          <w:rFonts w:ascii="Times New Roman" w:hAnsi="Times New Roman" w:cs="Times New Roman"/>
          <w:sz w:val="24"/>
          <w:szCs w:val="24"/>
          <w:lang w:val="sr-Cyrl-RS"/>
        </w:rPr>
        <w:t>669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56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1563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26495" w:rsidRPr="001F0C87" w:rsidRDefault="00DD5BBB" w:rsidP="00E264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parlamentarnih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440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učesnica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Pocesa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stabilizacije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Jugoistočne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KOSAP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EB3AED" w:rsidRPr="001F0C87" w:rsidRDefault="00DD5BBB" w:rsidP="00EB3A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E264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6495" w:rsidRDefault="00E26495" w:rsidP="0074284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7BC1" w:rsidRPr="0074284F" w:rsidRDefault="00DD5BBB" w:rsidP="0074284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5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55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551A5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51A5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55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E551A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E55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E55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55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 w:rsidR="00E55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551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5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E55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4284F" w:rsidRPr="007428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60AA7" w:rsidRPr="00A90D22" w:rsidRDefault="00A60AA7" w:rsidP="00742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1F0C87" w:rsidRDefault="00DD5BBB" w:rsidP="009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6B6536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B6536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B6536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B6536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uvozu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dvostruke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9A5AD9" w:rsidRPr="009A5AD9" w:rsidRDefault="009A5AD9" w:rsidP="009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877B36" w:rsidRDefault="00FE27F4" w:rsidP="009A5A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Roskić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1F0C87" w:rsidRP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uvozu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dvostruke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1F0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usklađuju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Regulativom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821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Prednost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globalne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rokom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važenja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investicione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rokom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važenja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17E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43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50F28" w:rsidRPr="009A5AD9" w:rsidRDefault="00D50F28" w:rsidP="001F0C87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D50F28" w:rsidRPr="001F0C87" w:rsidRDefault="00D50F28" w:rsidP="001F0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uvozu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robe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dvostruke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54664" w:rsidRDefault="00654664" w:rsidP="00A90D22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63AA5" w:rsidRDefault="00DD5BBB" w:rsidP="002015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6B6536" w:rsidRPr="00B63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B6536" w:rsidRPr="00B63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B6536" w:rsidRPr="00B63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B6536" w:rsidRPr="00B63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4172FF" w:rsidRPr="00B63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reproduktivnom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materijalu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šumskog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drveća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3AA5" w:rsidRPr="00B6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20152C" w:rsidRPr="0020152C" w:rsidRDefault="0020152C" w:rsidP="002015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B63AA5" w:rsidRDefault="00DD5BBB" w:rsidP="002015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Neđić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reproduktivnom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materijalu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šumskog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drveća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0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05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8605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8605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Merila</w:t>
      </w:r>
      <w:r w:rsidR="00860589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05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8605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8605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05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Poglavlju</w:t>
      </w:r>
      <w:r w:rsidR="00860589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04342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Sigurnost</w:t>
      </w:r>
      <w:r w:rsidR="0004342C" w:rsidRPr="0003079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hrane</w:t>
      </w:r>
      <w:r w:rsidR="0004342C" w:rsidRPr="0003079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veterinarska</w:t>
      </w:r>
      <w:r w:rsidR="0004342C" w:rsidRPr="0003079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</w:t>
      </w:r>
      <w:r w:rsidR="0004342C" w:rsidRPr="0003079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fitosanitarna</w:t>
      </w:r>
      <w:r w:rsidR="0004342C" w:rsidRPr="0003079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politika</w:t>
      </w:r>
      <w:r w:rsidR="0004342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D407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AD4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D4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D4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40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D4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4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istakla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ispunjavanju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Merila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5 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Resursi</w:t>
      </w:r>
      <w:r w:rsidR="00030791" w:rsidRPr="0003079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poljoprivreda</w:t>
      </w:r>
      <w:r w:rsidR="00030791" w:rsidRPr="0003079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</w:t>
      </w:r>
      <w:r w:rsidR="00030791" w:rsidRPr="0003079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kohezija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ispunila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merila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merilima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zatvaranje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zakonodavnog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preostalo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zakonodavnog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usaglašen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nesmetanu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unijom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pristupanje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jedinstvenom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03079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izmenom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dopunom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1999/105/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C758B">
        <w:rPr>
          <w:rFonts w:ascii="Times New Roman" w:hAnsi="Times New Roman" w:cs="Times New Roman"/>
          <w:sz w:val="24"/>
          <w:szCs w:val="24"/>
        </w:rPr>
        <w:t>Z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1999.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stavljanju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promet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šumskog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reproduktivnog</w:t>
      </w:r>
      <w:r w:rsidR="00271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materijala</w:t>
      </w:r>
      <w:r w:rsidR="00271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1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dopunjuju</w:t>
      </w:r>
      <w:r w:rsidR="00271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1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pojmovi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potpune</w:t>
      </w:r>
      <w:r w:rsidR="00271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usklađenosti</w:t>
      </w:r>
      <w:r w:rsidR="00271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1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271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usklađenosti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najznačajnije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jesu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kvalifikovanog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testiranog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selekcionisanog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reproduktivnog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potiče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sličnih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ekoloških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osobina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uveženi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sejati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saditi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rukovođenja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proizvodnjom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šumskog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reproduktivnog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doradom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inženjeri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izučavali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šumskog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reproduktivnog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7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polaganja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0152C" w:rsidRPr="0020152C" w:rsidRDefault="0020152C" w:rsidP="002015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3D2FE8" w:rsidRDefault="00DD5BBB" w:rsidP="00B63AA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="00104F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04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04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4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04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04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4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 w:rsidR="00104F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2026.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predviđenog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tekovina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48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NPAA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odgovorila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1F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2004.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priličnoj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pomenutom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1999.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zaključeno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donositi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pripremiti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2F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D2FE8" w:rsidRPr="001F0C87" w:rsidRDefault="003D2FE8" w:rsidP="003D2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reproduktivnom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materijalu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šumskog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drveća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D2FE8" w:rsidRPr="0020152C" w:rsidRDefault="003D2FE8" w:rsidP="003D2FE8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FF7EC2" w:rsidRDefault="00DD5BBB" w:rsidP="00FF7EC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B63AA5" w:rsidRPr="00FF7E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B63AA5" w:rsidRPr="00FF7E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B63AA5" w:rsidRPr="00FF7E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B63AA5" w:rsidRPr="00FF7E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sorti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7EC2" w:rsidRPr="00FF7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340F2E" w:rsidRDefault="00DD5BBB" w:rsidP="00FF7EC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Neđić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dopunom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2002/53/</w:t>
      </w:r>
      <w:r w:rsidR="00340F2E">
        <w:rPr>
          <w:rFonts w:ascii="Times New Roman" w:hAnsi="Times New Roman" w:cs="Times New Roman"/>
          <w:sz w:val="24"/>
          <w:szCs w:val="24"/>
        </w:rPr>
        <w:t>EZ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2002.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katalogu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biljnih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2002/55/</w:t>
      </w:r>
      <w:r w:rsidR="00340F2E">
        <w:rPr>
          <w:rFonts w:ascii="Times New Roman" w:hAnsi="Times New Roman" w:cs="Times New Roman"/>
          <w:sz w:val="24"/>
          <w:szCs w:val="24"/>
        </w:rPr>
        <w:t>EZ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2002.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plasiranju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povrtarskog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semena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upisane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katalog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sortnu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smatraće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upisane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uvoza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stavljanja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promet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obaveštavanja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statusom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sedištem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prebivalištem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njenoj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održavaoca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fizičkim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registrovanim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rezultirati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upisom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katalog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priznate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priznate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članicama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procedurama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40F2E" w:rsidRDefault="00DD5BBB" w:rsidP="00FF7EC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0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NPAA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izjavi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usklađenosti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usklađenosti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79F3" w:rsidRPr="00340F2E" w:rsidRDefault="00DD5BBB" w:rsidP="00FF7EC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odgovorila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odložena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NPAA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2024. – 2027.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DC79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0765" w:rsidRDefault="00DD5BBB" w:rsidP="00DC79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sorti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EE07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961EE" w:rsidRPr="00B13261" w:rsidRDefault="009961EE" w:rsidP="00DC79F3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6D5CA2" w:rsidRPr="006D5CA2" w:rsidRDefault="00DD5BBB" w:rsidP="006D5CA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9961EE" w:rsidRPr="006D5C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9961EE" w:rsidRPr="006D5C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9961EE" w:rsidRPr="006D5C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9961EE" w:rsidRPr="006D5C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dodatu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D5CA2" w:rsidRPr="006D5C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961EE" w:rsidRDefault="00DD5BBB" w:rsidP="009961E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dodatu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0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usklađuje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112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2006.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32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usaglašavanja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B132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1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C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C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optiranja</w:t>
      </w:r>
      <w:r w:rsidR="00C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oporezivanje</w:t>
      </w:r>
      <w:r w:rsidR="00C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porezom</w:t>
      </w:r>
      <w:r w:rsidR="00C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dodatu</w:t>
      </w:r>
      <w:r w:rsidR="00C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C5209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C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C52091">
        <w:rPr>
          <w:rFonts w:ascii="Times New Roman" w:hAnsi="Times New Roman" w:cs="Times New Roman"/>
          <w:sz w:val="24"/>
          <w:szCs w:val="24"/>
          <w:lang w:val="sr-Cyrl-RS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sr-Cyrl-RS"/>
        </w:rPr>
        <w:t>PDV</w:t>
      </w:r>
      <w:r w:rsidR="00C5209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obveznika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PDV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celokupne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obvezniku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PDV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PDV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neoporezivanje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PDV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promet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prenosi</w:t>
      </w:r>
      <w:r w:rsidR="000A25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oporezivanja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porezom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apsolutnih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porezom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poklon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uzrokovali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obveznika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optiranjem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oporezivanjem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PDV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sticalac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odbitak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prethodnog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21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uvozu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carinsku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uračunavaju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odgovarajućih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B121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softvera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osnovicu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promet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promet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uračunate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carinsku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uvozi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774E" w:rsidRDefault="00DD5BBB" w:rsidP="009961E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7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Izjavi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usklađenosti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precizirani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0D13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541BE" w:rsidRDefault="00DD5BBB" w:rsidP="00D541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ED46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46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dodatu</w:t>
      </w:r>
      <w:r w:rsidR="00ED46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D541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A1648" w:rsidRPr="00B12176" w:rsidRDefault="001A1648" w:rsidP="00D541BE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1A1648" w:rsidRPr="001A1648" w:rsidRDefault="00DD5BBB" w:rsidP="001A16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Peta</w:t>
      </w:r>
      <w:r w:rsidR="001A1648" w:rsidRPr="001A16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1A1648" w:rsidRPr="001A16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1A1648" w:rsidRPr="001A16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1A1648" w:rsidRPr="001A16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A1648" w:rsidRP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A1648" w:rsidRP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1648" w:rsidRP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1648" w:rsidRP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A1648" w:rsidRP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1648" w:rsidRP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A1648" w:rsidRP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1648" w:rsidRP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1648" w:rsidRP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1A68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A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A68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1648" w:rsidRPr="001A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B63AA5" w:rsidRDefault="00DD5BBB" w:rsidP="00B63AA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9C34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10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210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duvanskih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B91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minimalne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akcize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cigarete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kretanje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duvanskih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8D3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praćenja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duvanskih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krajnjeg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Energetskom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uvođenjem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akcize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komprimovani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712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krajnju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potrošnju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pogon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motornih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prelazni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 xml:space="preserve"> 2026.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40A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0850" w:rsidRDefault="00DD5BBB" w:rsidP="007808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B3A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808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B3AED" w:rsidRPr="00B12176" w:rsidRDefault="00EB3AED" w:rsidP="00780850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1504D2" w:rsidRPr="00267341" w:rsidRDefault="00DD5BBB" w:rsidP="001504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Šesta</w:t>
      </w:r>
      <w:r w:rsidR="00EB3AED" w:rsidRPr="002673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EB3AED" w:rsidRPr="002673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EB3AED" w:rsidRPr="002673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EB3AED" w:rsidRPr="002673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igrama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sreću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4D2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170D83" w:rsidRPr="002736A7" w:rsidRDefault="00DD5BBB" w:rsidP="00A60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Gašić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igre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sreću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igrama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7341" w:rsidRP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sreću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521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210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5210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propisom</w:t>
      </w:r>
      <w:r w:rsidR="00521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21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igrač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samoograniči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limitira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trošak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igrama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sreću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isključi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igara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sreću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igrač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67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identifikacije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online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registracije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starosna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igrača</w:t>
      </w:r>
      <w:r w:rsidR="002736A7" w:rsidRP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36A7" w:rsidRPr="0027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sprečava</w:t>
      </w:r>
      <w:r w:rsidR="00170D83" w:rsidRPr="002736A7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170D83" w:rsidRPr="002736A7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sama</w:t>
      </w:r>
      <w:r w:rsidR="00170D83" w:rsidRPr="002736A7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mogućnost</w:t>
      </w:r>
      <w:r w:rsidR="00170D83" w:rsidRPr="002736A7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registracije</w:t>
      </w:r>
      <w:r w:rsidR="00170D83" w:rsidRPr="002736A7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maloletnih</w:t>
      </w:r>
      <w:r w:rsidR="00170D83" w:rsidRPr="002736A7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lica</w:t>
      </w:r>
      <w:r w:rsidR="00170D83" w:rsidRPr="002736A7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170D83" w:rsidRPr="002736A7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igrama</w:t>
      </w:r>
      <w:r w:rsidR="00170D83" w:rsidRPr="002736A7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="00170D83" w:rsidRPr="002736A7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sreću</w:t>
      </w:r>
      <w:r w:rsidR="00170D83" w:rsidRPr="002736A7">
        <w:rPr>
          <w:rFonts w:ascii="Times New Roman" w:hAnsi="Times New Roman"/>
          <w:sz w:val="24"/>
          <w:lang w:val="sr-Cyrl-RS"/>
        </w:rPr>
        <w:t xml:space="preserve">. </w:t>
      </w:r>
    </w:p>
    <w:p w:rsidR="00170D83" w:rsidRPr="00B12176" w:rsidRDefault="00170D83" w:rsidP="00A60DA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16"/>
          <w:szCs w:val="16"/>
          <w:lang w:val="sr-Cyrl-RS"/>
        </w:rPr>
      </w:pPr>
    </w:p>
    <w:p w:rsidR="00170D83" w:rsidRPr="00A60DAB" w:rsidRDefault="00DD5BBB" w:rsidP="00A60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Đ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Stanković</w:t>
      </w:r>
      <w:r w:rsidR="00A60DAB">
        <w:rPr>
          <w:rFonts w:ascii="Times New Roman" w:hAnsi="Times New Roman"/>
          <w:sz w:val="24"/>
          <w:lang w:val="sr-Cyrl-RS"/>
        </w:rPr>
        <w:t>,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="00A60DAB">
        <w:rPr>
          <w:rFonts w:ascii="Times New Roman" w:hAnsi="Times New Roman"/>
          <w:sz w:val="24"/>
          <w:lang w:val="sr-Cyrl-RS"/>
        </w:rPr>
        <w:t>,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postavio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pitanje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oglašavanja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kao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kladionica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koje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nalaze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blizini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škola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odnosno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samog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bookmarkStart w:id="1" w:name="_Hlk183041051"/>
      <w:r>
        <w:rPr>
          <w:rFonts w:ascii="Times New Roman" w:hAnsi="Times New Roman"/>
          <w:sz w:val="24"/>
          <w:lang w:val="sr-Cyrl-RS"/>
        </w:rPr>
        <w:t>tumačenja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zakonskog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određivanja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razdaljine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bi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morala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postoji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između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školske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ustanove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objekata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kojima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dozvoljeno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učestvovati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igrama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sreću</w:t>
      </w:r>
      <w:r w:rsidR="00170D83" w:rsidRPr="00A60DAB">
        <w:rPr>
          <w:rFonts w:ascii="Times New Roman" w:hAnsi="Times New Roman"/>
          <w:sz w:val="24"/>
          <w:lang w:val="sr-Cyrl-RS"/>
        </w:rPr>
        <w:t>.</w:t>
      </w:r>
    </w:p>
    <w:bookmarkEnd w:id="1"/>
    <w:p w:rsidR="00170D83" w:rsidRPr="00A60DAB" w:rsidRDefault="00170D83" w:rsidP="00A60DAB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sr-Cyrl-RS"/>
        </w:rPr>
      </w:pPr>
    </w:p>
    <w:p w:rsidR="00170D83" w:rsidRDefault="00DD5BBB" w:rsidP="00170D8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Direktor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Uprave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igre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sreću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odgovorio</w:t>
      </w:r>
      <w:r w:rsid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oglašavanju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nadležnosti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Ministarstva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spoljnu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unutrašnju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trgovinu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kao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njegovoj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modifikciji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uveliko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radi</w:t>
      </w:r>
      <w:r w:rsidR="00170D83" w:rsidRPr="00A60DAB">
        <w:rPr>
          <w:rFonts w:ascii="Times New Roman" w:hAnsi="Times New Roman"/>
          <w:sz w:val="24"/>
          <w:lang w:val="sr-Cyrl-RS"/>
        </w:rPr>
        <w:t xml:space="preserve">. </w:t>
      </w:r>
    </w:p>
    <w:p w:rsidR="00A60DAB" w:rsidRPr="00A60DAB" w:rsidRDefault="00A60DAB" w:rsidP="00170D8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sr-Cyrl-RS"/>
        </w:rPr>
      </w:pPr>
    </w:p>
    <w:p w:rsidR="00A60DAB" w:rsidRDefault="00DD5BBB" w:rsidP="00A60DA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E2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E2C82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2C82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CE2C8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igrama</w:t>
      </w:r>
      <w:r w:rsidR="00AE2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2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sreću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60D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60DAB" w:rsidRPr="00A60DAB" w:rsidRDefault="00A60DAB" w:rsidP="00A60D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DF71E1" w:rsidRDefault="00DD5BBB" w:rsidP="00A60D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Sedma</w:t>
      </w:r>
      <w:r w:rsidR="00DF71E1" w:rsidRPr="006A6F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DF71E1" w:rsidRPr="006A6F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DF71E1" w:rsidRPr="006A6F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DF71E1" w:rsidRPr="006A6F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F71E1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F71E1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F71E1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F71E1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DF71E1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F71E1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71E1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F71E1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F71E1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71E1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8A66D4" w:rsidRPr="008A66D4" w:rsidRDefault="008A66D4" w:rsidP="00A60D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547666" w:rsidRPr="006A6FE6" w:rsidRDefault="00DD5BBB" w:rsidP="0054766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FE1EB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Roskić</w:t>
      </w:r>
      <w:r w:rsidR="00FE1EB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FE1EB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E1EB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="00FE1EB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1EB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FE1EB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FE1EB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1EB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FE1EB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E1EB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1EB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1EB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FE1EB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usklađivanju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2006.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preuzela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stabilizaciji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pridruživanju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barijera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poslovnog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nastanjivanja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prekograničnog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ukidanje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uslužnih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pravu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neopravdano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ograničavaju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poslovnog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nastanjivanja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prekograničnog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547666" w:rsidRPr="006A6F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1563" w:rsidRPr="006A6FE6" w:rsidRDefault="00DD5BBB" w:rsidP="00B615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61563" w:rsidRPr="008A66D4" w:rsidRDefault="00B61563" w:rsidP="00B61563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B61563" w:rsidRPr="006A6FE6" w:rsidRDefault="00DD5BBB" w:rsidP="00B6156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Osma</w:t>
      </w:r>
      <w:r w:rsidR="00B61563" w:rsidRPr="006A6F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B61563" w:rsidRPr="006A6F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B61563" w:rsidRPr="006A6F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B61563" w:rsidRPr="006A6F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1563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3C7960" w:rsidRPr="006A6FE6" w:rsidRDefault="00DD5BBB" w:rsidP="003C79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Mrdak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1066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8A6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6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A6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A6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preneti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relevantnu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tekovinu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Trećeg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Četvrtog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energetskog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paketa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Trećeg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energetskog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paketa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implementiraju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2017/1485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smernica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Evropske</w:t>
      </w:r>
      <w:r w:rsidR="003C7960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2016/1719 </w:t>
      </w:r>
      <w:r>
        <w:rPr>
          <w:rFonts w:ascii="Times New Roman" w:hAnsi="Times New Roman"/>
          <w:sz w:val="24"/>
          <w:lang w:val="sr-Cyrl-RS"/>
        </w:rPr>
        <w:t>o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bookmarkStart w:id="2" w:name="_Hlk183037767"/>
      <w:r>
        <w:rPr>
          <w:rFonts w:ascii="Times New Roman" w:hAnsi="Times New Roman"/>
          <w:sz w:val="24"/>
          <w:lang w:val="sr-Cyrl-RS"/>
        </w:rPr>
        <w:t>uspostavljanju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smernica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bookmarkEnd w:id="2"/>
      <w:r>
        <w:rPr>
          <w:rFonts w:ascii="Times New Roman" w:hAnsi="Times New Roman"/>
          <w:sz w:val="24"/>
          <w:lang w:val="sr-Cyrl-RS"/>
        </w:rPr>
        <w:t>za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dugoročnu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raspodelu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kapaciteta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Uredba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Evropske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unije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2017/2195 </w:t>
      </w:r>
      <w:bookmarkStart w:id="3" w:name="_Hlk183037828"/>
      <w:r>
        <w:rPr>
          <w:rFonts w:ascii="Times New Roman" w:hAnsi="Times New Roman"/>
          <w:sz w:val="24"/>
          <w:lang w:val="sr-Cyrl-RS"/>
        </w:rPr>
        <w:t>o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uspostavljanju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smernica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bookmarkEnd w:id="3"/>
      <w:r>
        <w:rPr>
          <w:rFonts w:ascii="Times New Roman" w:hAnsi="Times New Roman"/>
          <w:sz w:val="24"/>
          <w:lang w:val="sr-Cyrl-RS"/>
        </w:rPr>
        <w:t>električnu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energiju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balansiranja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Uredba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Evropske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unije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2017/2196 </w:t>
      </w:r>
      <w:r>
        <w:rPr>
          <w:rFonts w:ascii="Times New Roman" w:hAnsi="Times New Roman"/>
          <w:sz w:val="24"/>
          <w:lang w:val="sr-Cyrl-RS"/>
        </w:rPr>
        <w:t>o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uspostavljanju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mrežnih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pravila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poremećeni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ponovno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uspostavljanje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elektroenergetskih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sistema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Uredba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Evropske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unije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2015/1222 </w:t>
      </w:r>
      <w:r>
        <w:rPr>
          <w:rFonts w:ascii="Times New Roman" w:hAnsi="Times New Roman"/>
          <w:sz w:val="24"/>
          <w:lang w:val="sr-Cyrl-RS"/>
        </w:rPr>
        <w:t>kojom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uspostavljaju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smernice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raspodelu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kapaciteta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upravljanje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zagušenjima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Nakon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toga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kako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naveo</w:t>
      </w:r>
      <w:r w:rsidR="00F73D60" w:rsidRPr="006A6FE6">
        <w:rPr>
          <w:rFonts w:ascii="Times New Roman" w:hAnsi="Times New Roman"/>
          <w:sz w:val="24"/>
          <w:lang w:val="sr-Cyrl-RS"/>
        </w:rPr>
        <w:t>,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usledilo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bi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prenošenje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propisa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</w:t>
      </w:r>
      <w:r w:rsidR="00F73D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Četvrtog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energetskog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paketa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Uredba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Evropske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unije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2019/941 </w:t>
      </w:r>
      <w:r>
        <w:rPr>
          <w:rFonts w:ascii="Times New Roman" w:hAnsi="Times New Roman"/>
          <w:sz w:val="24"/>
          <w:lang w:val="sr-Cyrl-RS"/>
        </w:rPr>
        <w:t>o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pripravnosti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rizike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sektoru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električne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energije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stavljanju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van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snage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Direktive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Evropske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unije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2005/89/</w:t>
      </w:r>
      <w:r>
        <w:rPr>
          <w:rFonts w:ascii="Times New Roman" w:hAnsi="Times New Roman"/>
          <w:sz w:val="24"/>
          <w:lang w:val="sr-Cyrl-RS"/>
        </w:rPr>
        <w:t>E</w:t>
      </w:r>
      <w:r w:rsidR="008A66D4">
        <w:rPr>
          <w:rFonts w:ascii="Times New Roman" w:hAnsi="Times New Roman"/>
          <w:sz w:val="24"/>
        </w:rPr>
        <w:t>Z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direktive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EU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2019/944 </w:t>
      </w:r>
      <w:r>
        <w:rPr>
          <w:rFonts w:ascii="Times New Roman" w:hAnsi="Times New Roman"/>
          <w:sz w:val="24"/>
          <w:lang w:val="sr-Cyrl-RS"/>
        </w:rPr>
        <w:t>o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zajedničkim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pravilima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unutršnje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tržište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električne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energije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izmeni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Direktive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2012/27/</w:t>
      </w:r>
      <w:r>
        <w:rPr>
          <w:rFonts w:ascii="Times New Roman" w:hAnsi="Times New Roman"/>
          <w:sz w:val="24"/>
          <w:lang w:val="sr-Cyrl-RS"/>
        </w:rPr>
        <w:t>E</w:t>
      </w:r>
      <w:r w:rsidR="008A66D4">
        <w:rPr>
          <w:rFonts w:ascii="Times New Roman" w:hAnsi="Times New Roman"/>
          <w:sz w:val="24"/>
        </w:rPr>
        <w:t>U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zatim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Uredbe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Evropske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unije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2019/942 </w:t>
      </w:r>
      <w:r>
        <w:rPr>
          <w:rFonts w:ascii="Times New Roman" w:hAnsi="Times New Roman"/>
          <w:sz w:val="24"/>
          <w:lang w:val="sr-Cyrl-RS"/>
        </w:rPr>
        <w:t>o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osnivanju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Evropske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unije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saradnju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energetskih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regulatora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kao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uredbe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Evropske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unije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2019/943 </w:t>
      </w:r>
      <w:r>
        <w:rPr>
          <w:rFonts w:ascii="Times New Roman" w:hAnsi="Times New Roman"/>
          <w:sz w:val="24"/>
          <w:lang w:val="sr-Cyrl-RS"/>
        </w:rPr>
        <w:t>o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unutrašnjem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tržištu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električne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energije</w:t>
      </w:r>
      <w:r w:rsidR="003C7960" w:rsidRPr="006A6FE6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Istakao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propisi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Trećeg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paketa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biti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transponovani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kroz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podzakonske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akte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Vlade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čemu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delimično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preneta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Uredba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Evropske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unije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2015/1222, </w:t>
      </w:r>
      <w:r>
        <w:rPr>
          <w:rFonts w:ascii="Times New Roman" w:hAnsi="Times New Roman"/>
          <w:sz w:val="24"/>
          <w:lang w:val="sr-Cyrl-RS"/>
        </w:rPr>
        <w:t>dok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Četvrtog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paketa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potpunosti</w:t>
      </w:r>
      <w:r w:rsidR="00404D97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transponovane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Uredbe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Evropske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unije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2019/942 </w:t>
      </w:r>
      <w:r>
        <w:rPr>
          <w:rFonts w:ascii="Times New Roman" w:hAnsi="Times New Roman"/>
          <w:sz w:val="24"/>
          <w:lang w:val="sr-Cyrl-RS"/>
        </w:rPr>
        <w:t>i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219/943, </w:t>
      </w:r>
      <w:r>
        <w:rPr>
          <w:rFonts w:ascii="Times New Roman" w:hAnsi="Times New Roman"/>
          <w:sz w:val="24"/>
          <w:lang w:val="sr-Cyrl-RS"/>
        </w:rPr>
        <w:t>a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ostale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delimično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ali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velikoj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meri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transponovane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Ukazao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značaj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ovog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aspekta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evrointegracija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jer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time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harmonizovati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naše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tržište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električne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energije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istovetnim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tržištima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Evropskoj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uniji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omogućiti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spajanje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našeg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tržišta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tržištem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električne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energije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Evropskoj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uniji</w:t>
      </w:r>
      <w:r w:rsidR="00557942" w:rsidRPr="006A6FE6">
        <w:rPr>
          <w:rFonts w:ascii="Times New Roman" w:hAnsi="Times New Roman"/>
          <w:sz w:val="24"/>
          <w:lang w:val="sr-Cyrl-RS"/>
        </w:rPr>
        <w:t xml:space="preserve">. </w:t>
      </w:r>
    </w:p>
    <w:p w:rsidR="00F02B5B" w:rsidRPr="006A6FE6" w:rsidRDefault="00DD5BBB" w:rsidP="00F02B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02B5B" w:rsidRPr="006A6F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02B5B" w:rsidRPr="008A66D4" w:rsidRDefault="00F02B5B" w:rsidP="00F02B5B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  <w:lang w:val="sr-Cyrl-RS"/>
        </w:rPr>
      </w:pPr>
    </w:p>
    <w:p w:rsidR="002F377F" w:rsidRDefault="00DD5BBB" w:rsidP="002F37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Deveta</w:t>
      </w:r>
      <w:r w:rsidR="002F377F" w:rsidRPr="00DF7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2F377F" w:rsidRPr="00DF7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2F377F" w:rsidRPr="00DF7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2F377F" w:rsidRPr="00DF7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F377F" w:rsidRPr="0046069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parlamentarnih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učesnica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stabilizacije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Jugoistočne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KOSAP</w:t>
      </w:r>
      <w:r w:rsidR="002F377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60699" w:rsidRPr="008A66D4" w:rsidRDefault="00460699" w:rsidP="002F377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4140DA" w:rsidRDefault="00DD5BBB" w:rsidP="002F37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KOSAP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učestovali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uspešnost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održanog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ogleda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dužeg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formiranju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KOSAP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40DA" w:rsidRPr="00FC2A49" w:rsidRDefault="004140DA" w:rsidP="002F377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460699" w:rsidRDefault="00DD5BBB" w:rsidP="002F37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obavljenih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konstultacija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predsednicom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41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0699" w:rsidRPr="00FC2A49" w:rsidRDefault="00460699" w:rsidP="002F377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460699" w:rsidRPr="001F0C87" w:rsidRDefault="00DD5BBB" w:rsidP="002F37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parlamentarnih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učesnica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stabilizacije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Jugoistočne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KOSAP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4606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7960" w:rsidRPr="004F07A6" w:rsidRDefault="003C7960" w:rsidP="003C7960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sr-Cyrl-RS"/>
        </w:rPr>
      </w:pPr>
    </w:p>
    <w:p w:rsidR="006B6536" w:rsidRPr="004140DA" w:rsidRDefault="00D457DF" w:rsidP="00E958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5B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6B6536" w:rsidRPr="008B2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  <w:r w:rsidR="006B6536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9E78DF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9E78DF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9E78DF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7D2951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predsednica</w:t>
      </w:r>
      <w:r w:rsidR="000505A9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505A9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05A9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505A9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mejlom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obavešteni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petak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22.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505A9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0505A9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0505A9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posebna</w:t>
      </w:r>
      <w:r w:rsidR="000505A9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predstavljen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050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267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predstaviti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ambasador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67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267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267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Emanuele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Žiofre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prisutna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ministarka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Times New Roman" w:hAnsi="Times New Roman" w:cs="Times New Roman"/>
          <w:sz w:val="24"/>
          <w:szCs w:val="24"/>
          <w:lang w:val="sr-Cyrl-RS"/>
        </w:rPr>
        <w:t>Miščević</w:t>
      </w:r>
      <w:r w:rsidR="000505A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6536" w:rsidRPr="006B60C1" w:rsidRDefault="006B6536" w:rsidP="009E78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9675B8" w:rsidRPr="007D2951" w:rsidRDefault="00DD5BBB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4B3869" w:rsidRPr="004B386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>.2</w:t>
      </w:r>
      <w:r w:rsidR="004B3869" w:rsidRPr="004B386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675B8" w:rsidRPr="00AD3FA0" w:rsidRDefault="009675B8" w:rsidP="00967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DD5BBB" w:rsidP="009675B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SEKRETAR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9675B8" w:rsidRPr="00AD3FA0" w:rsidRDefault="009675B8" w:rsidP="00967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hAnsi="Times New Roman" w:cs="Times New Roman"/>
          <w:sz w:val="24"/>
          <w:szCs w:val="24"/>
          <w:lang w:val="sr-Cyrl-RS"/>
        </w:rPr>
        <w:t>Vučićević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Kovács Elvira</w:t>
      </w:r>
    </w:p>
    <w:p w:rsidR="009675B8" w:rsidRPr="00AD3FA0" w:rsidRDefault="009675B8" w:rsidP="00967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(</w:t>
      </w:r>
      <w:r w:rsidR="00DD5BBB">
        <w:rPr>
          <w:rFonts w:ascii="Times New Roman" w:eastAsia="Calibri" w:hAnsi="Times New Roman" w:cs="Times New Roman"/>
          <w:sz w:val="24"/>
          <w:szCs w:val="24"/>
          <w:lang w:val="sr-Cyrl-RS"/>
        </w:rPr>
        <w:t>Elvira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5BBB">
        <w:rPr>
          <w:rFonts w:ascii="Times New Roman" w:eastAsia="Calibri" w:hAnsi="Times New Roman" w:cs="Times New Roman"/>
          <w:sz w:val="24"/>
          <w:szCs w:val="24"/>
          <w:lang w:val="sr-Cyrl-RS"/>
        </w:rPr>
        <w:t>Kovač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9675B8" w:rsidRPr="00AD3FA0" w:rsidRDefault="009675B8" w:rsidP="0096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9675B8" w:rsidP="009675B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9675B8" w:rsidP="00967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D3FA0" w:rsidRDefault="00A60AA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60AA7" w:rsidRPr="00AD3FA0" w:rsidSect="00847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21" w:rsidRDefault="00EB0F21" w:rsidP="00654664">
      <w:pPr>
        <w:spacing w:after="0" w:line="240" w:lineRule="auto"/>
      </w:pPr>
      <w:r>
        <w:separator/>
      </w:r>
    </w:p>
  </w:endnote>
  <w:endnote w:type="continuationSeparator" w:id="0">
    <w:p w:rsidR="00EB0F21" w:rsidRDefault="00EB0F21" w:rsidP="0065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BBB" w:rsidRDefault="00DD5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101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4664" w:rsidRDefault="006546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B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4664" w:rsidRDefault="00654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BBB" w:rsidRDefault="00DD5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21" w:rsidRDefault="00EB0F21" w:rsidP="00654664">
      <w:pPr>
        <w:spacing w:after="0" w:line="240" w:lineRule="auto"/>
      </w:pPr>
      <w:r>
        <w:separator/>
      </w:r>
    </w:p>
  </w:footnote>
  <w:footnote w:type="continuationSeparator" w:id="0">
    <w:p w:rsidR="00EB0F21" w:rsidRDefault="00EB0F21" w:rsidP="0065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BBB" w:rsidRDefault="00DD5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BBB" w:rsidRDefault="00DD5B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BBB" w:rsidRDefault="00DD5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15"/>
    <w:multiLevelType w:val="hybridMultilevel"/>
    <w:tmpl w:val="37FAF556"/>
    <w:lvl w:ilvl="0" w:tplc="92E258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96DF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B2D9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FEFB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08CA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A8AF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58E9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86FA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3A24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24114A6"/>
    <w:multiLevelType w:val="hybridMultilevel"/>
    <w:tmpl w:val="A4945DEC"/>
    <w:lvl w:ilvl="0" w:tplc="AA2259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4672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2666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62F2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806C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F6D0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5CF5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5001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1420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54B383F"/>
    <w:multiLevelType w:val="hybridMultilevel"/>
    <w:tmpl w:val="23AE1674"/>
    <w:lvl w:ilvl="0" w:tplc="A51C8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8F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66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21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A4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8E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29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E7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2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B173C4"/>
    <w:multiLevelType w:val="hybridMultilevel"/>
    <w:tmpl w:val="015A43AE"/>
    <w:lvl w:ilvl="0" w:tplc="B832C5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F43D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7EA1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1EF0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F0CD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8C6C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C295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9C3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6E7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1CE3F6B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0539F"/>
    <w:multiLevelType w:val="hybridMultilevel"/>
    <w:tmpl w:val="9C4EF8CE"/>
    <w:lvl w:ilvl="0" w:tplc="98B00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02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04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84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0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C1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02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CD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287BB6"/>
    <w:multiLevelType w:val="hybridMultilevel"/>
    <w:tmpl w:val="B48612B2"/>
    <w:lvl w:ilvl="0" w:tplc="8E3C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2D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D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2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6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16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4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2D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0819BB"/>
    <w:multiLevelType w:val="hybridMultilevel"/>
    <w:tmpl w:val="C0C03CE0"/>
    <w:lvl w:ilvl="0" w:tplc="DD0E0C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421F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D034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B479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AA28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94E1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7AEA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300F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085E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34429C"/>
    <w:multiLevelType w:val="hybridMultilevel"/>
    <w:tmpl w:val="498264DC"/>
    <w:lvl w:ilvl="0" w:tplc="E83CFB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2439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96FD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7691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C649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CCED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BEA3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F070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1E9E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FE668D4"/>
    <w:multiLevelType w:val="hybridMultilevel"/>
    <w:tmpl w:val="A846258E"/>
    <w:lvl w:ilvl="0" w:tplc="3F2253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8F7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831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AC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A66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46D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E25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C9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42D6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45E28"/>
    <w:multiLevelType w:val="hybridMultilevel"/>
    <w:tmpl w:val="5596CDD4"/>
    <w:lvl w:ilvl="0" w:tplc="9A74BE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21B36"/>
    <w:multiLevelType w:val="hybridMultilevel"/>
    <w:tmpl w:val="35C2D8EE"/>
    <w:lvl w:ilvl="0" w:tplc="CBF03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20AC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E086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D2EC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F47D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AA7F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DCB6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6C1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F84D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1991264"/>
    <w:multiLevelType w:val="hybridMultilevel"/>
    <w:tmpl w:val="99861DF2"/>
    <w:lvl w:ilvl="0" w:tplc="113ED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C3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066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2A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C3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4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8F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262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6A5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1D060A6"/>
    <w:multiLevelType w:val="hybridMultilevel"/>
    <w:tmpl w:val="11FA126E"/>
    <w:lvl w:ilvl="0" w:tplc="59EE87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A864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5EA0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22C0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300A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40EA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227E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884B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BCE1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6C92FD4"/>
    <w:multiLevelType w:val="hybridMultilevel"/>
    <w:tmpl w:val="17E06A78"/>
    <w:lvl w:ilvl="0" w:tplc="19D0A8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D8AF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9816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9C73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6080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A472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90EF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CCA7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5EEB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B3850DB"/>
    <w:multiLevelType w:val="hybridMultilevel"/>
    <w:tmpl w:val="32B0060C"/>
    <w:lvl w:ilvl="0" w:tplc="42FC0A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34F4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9EF7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762A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DCDF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A8F2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2456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70EA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EC8B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2CA5736D"/>
    <w:multiLevelType w:val="hybridMultilevel"/>
    <w:tmpl w:val="EBD2968C"/>
    <w:lvl w:ilvl="0" w:tplc="DFEE3E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BAD3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665F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4CF4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5AA1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4A06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7AA4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464C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46F6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08224CE"/>
    <w:multiLevelType w:val="hybridMultilevel"/>
    <w:tmpl w:val="7570B4E6"/>
    <w:lvl w:ilvl="0" w:tplc="882A40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CECF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42DD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8EB7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A224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FCAC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CAD4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246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AC2C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0AB52DF"/>
    <w:multiLevelType w:val="hybridMultilevel"/>
    <w:tmpl w:val="FA2C2056"/>
    <w:lvl w:ilvl="0" w:tplc="D878F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452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054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27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BAA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A3D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49D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8E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CA5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70187"/>
    <w:multiLevelType w:val="hybridMultilevel"/>
    <w:tmpl w:val="850CC734"/>
    <w:lvl w:ilvl="0" w:tplc="951261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F688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5AA0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140A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D283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803C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B0F0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1858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66C6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6162AC4"/>
    <w:multiLevelType w:val="hybridMultilevel"/>
    <w:tmpl w:val="62000638"/>
    <w:lvl w:ilvl="0" w:tplc="F5A09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97FAD"/>
    <w:multiLevelType w:val="hybridMultilevel"/>
    <w:tmpl w:val="D58E5570"/>
    <w:lvl w:ilvl="0" w:tplc="22325A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5CC4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44E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C8D5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E09A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98CD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3208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DCBA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F0F2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39843B77"/>
    <w:multiLevelType w:val="hybridMultilevel"/>
    <w:tmpl w:val="15D84DA6"/>
    <w:lvl w:ilvl="0" w:tplc="65D2B7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809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60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CF0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E0A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66F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69F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8F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ECB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050E6"/>
    <w:multiLevelType w:val="hybridMultilevel"/>
    <w:tmpl w:val="7DA80AD4"/>
    <w:lvl w:ilvl="0" w:tplc="EAB231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BC45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3006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7A18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06EB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C05E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7E20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36C6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0401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3D1B7DFD"/>
    <w:multiLevelType w:val="hybridMultilevel"/>
    <w:tmpl w:val="58F63D0C"/>
    <w:lvl w:ilvl="0" w:tplc="86F618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402A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9A81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E878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526A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8680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A010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766C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DEE7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40484EF1"/>
    <w:multiLevelType w:val="hybridMultilevel"/>
    <w:tmpl w:val="7E84FEB8"/>
    <w:lvl w:ilvl="0" w:tplc="72545D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303E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4625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18AF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EA36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A67E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9E02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5640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86F7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4557693A"/>
    <w:multiLevelType w:val="hybridMultilevel"/>
    <w:tmpl w:val="61B6F048"/>
    <w:lvl w:ilvl="0" w:tplc="9C6420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BC9E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FE5E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D248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7E49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E01A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5438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2CA2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BC6C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4B7A56FF"/>
    <w:multiLevelType w:val="hybridMultilevel"/>
    <w:tmpl w:val="84427FF6"/>
    <w:lvl w:ilvl="0" w:tplc="68366E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C2EB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4863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4805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807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8C7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38BB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1E21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8C04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4BA114A7"/>
    <w:multiLevelType w:val="hybridMultilevel"/>
    <w:tmpl w:val="0A12D19C"/>
    <w:lvl w:ilvl="0" w:tplc="EA542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74A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E9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0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2F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A1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E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EB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8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DB43203"/>
    <w:multiLevelType w:val="hybridMultilevel"/>
    <w:tmpl w:val="A9CA3AB4"/>
    <w:lvl w:ilvl="0" w:tplc="571C398E">
      <w:start w:val="1"/>
      <w:numFmt w:val="bullet"/>
      <w:lvlText w:val=""/>
      <w:lvlJc w:val="left"/>
      <w:pPr>
        <w:tabs>
          <w:tab w:val="num" w:pos="1494"/>
        </w:tabs>
        <w:ind w:left="1494" w:hanging="360"/>
      </w:pPr>
      <w:rPr>
        <w:rFonts w:ascii="Wingdings 3" w:hAnsi="Wingdings 3" w:hint="default"/>
      </w:rPr>
    </w:lvl>
    <w:lvl w:ilvl="1" w:tplc="84367688" w:tentative="1">
      <w:start w:val="1"/>
      <w:numFmt w:val="bullet"/>
      <w:lvlText w:val=""/>
      <w:lvlJc w:val="left"/>
      <w:pPr>
        <w:tabs>
          <w:tab w:val="num" w:pos="2214"/>
        </w:tabs>
        <w:ind w:left="2214" w:hanging="360"/>
      </w:pPr>
      <w:rPr>
        <w:rFonts w:ascii="Wingdings 3" w:hAnsi="Wingdings 3" w:hint="default"/>
      </w:rPr>
    </w:lvl>
    <w:lvl w:ilvl="2" w:tplc="BB984710" w:tentative="1">
      <w:start w:val="1"/>
      <w:numFmt w:val="bullet"/>
      <w:lvlText w:val=""/>
      <w:lvlJc w:val="left"/>
      <w:pPr>
        <w:tabs>
          <w:tab w:val="num" w:pos="2934"/>
        </w:tabs>
        <w:ind w:left="2934" w:hanging="360"/>
      </w:pPr>
      <w:rPr>
        <w:rFonts w:ascii="Wingdings 3" w:hAnsi="Wingdings 3" w:hint="default"/>
      </w:rPr>
    </w:lvl>
    <w:lvl w:ilvl="3" w:tplc="9A20259C" w:tentative="1">
      <w:start w:val="1"/>
      <w:numFmt w:val="bullet"/>
      <w:lvlText w:val=""/>
      <w:lvlJc w:val="left"/>
      <w:pPr>
        <w:tabs>
          <w:tab w:val="num" w:pos="3654"/>
        </w:tabs>
        <w:ind w:left="3654" w:hanging="360"/>
      </w:pPr>
      <w:rPr>
        <w:rFonts w:ascii="Wingdings 3" w:hAnsi="Wingdings 3" w:hint="default"/>
      </w:rPr>
    </w:lvl>
    <w:lvl w:ilvl="4" w:tplc="21F656F0" w:tentative="1">
      <w:start w:val="1"/>
      <w:numFmt w:val="bullet"/>
      <w:lvlText w:val=""/>
      <w:lvlJc w:val="left"/>
      <w:pPr>
        <w:tabs>
          <w:tab w:val="num" w:pos="4374"/>
        </w:tabs>
        <w:ind w:left="4374" w:hanging="360"/>
      </w:pPr>
      <w:rPr>
        <w:rFonts w:ascii="Wingdings 3" w:hAnsi="Wingdings 3" w:hint="default"/>
      </w:rPr>
    </w:lvl>
    <w:lvl w:ilvl="5" w:tplc="B754BE7C" w:tentative="1">
      <w:start w:val="1"/>
      <w:numFmt w:val="bullet"/>
      <w:lvlText w:val=""/>
      <w:lvlJc w:val="left"/>
      <w:pPr>
        <w:tabs>
          <w:tab w:val="num" w:pos="5094"/>
        </w:tabs>
        <w:ind w:left="5094" w:hanging="360"/>
      </w:pPr>
      <w:rPr>
        <w:rFonts w:ascii="Wingdings 3" w:hAnsi="Wingdings 3" w:hint="default"/>
      </w:rPr>
    </w:lvl>
    <w:lvl w:ilvl="6" w:tplc="23BAFB92" w:tentative="1">
      <w:start w:val="1"/>
      <w:numFmt w:val="bullet"/>
      <w:lvlText w:val=""/>
      <w:lvlJc w:val="left"/>
      <w:pPr>
        <w:tabs>
          <w:tab w:val="num" w:pos="5814"/>
        </w:tabs>
        <w:ind w:left="5814" w:hanging="360"/>
      </w:pPr>
      <w:rPr>
        <w:rFonts w:ascii="Wingdings 3" w:hAnsi="Wingdings 3" w:hint="default"/>
      </w:rPr>
    </w:lvl>
    <w:lvl w:ilvl="7" w:tplc="CF404D58" w:tentative="1">
      <w:start w:val="1"/>
      <w:numFmt w:val="bullet"/>
      <w:lvlText w:val=""/>
      <w:lvlJc w:val="left"/>
      <w:pPr>
        <w:tabs>
          <w:tab w:val="num" w:pos="6534"/>
        </w:tabs>
        <w:ind w:left="6534" w:hanging="360"/>
      </w:pPr>
      <w:rPr>
        <w:rFonts w:ascii="Wingdings 3" w:hAnsi="Wingdings 3" w:hint="default"/>
      </w:rPr>
    </w:lvl>
    <w:lvl w:ilvl="8" w:tplc="7EC6187A" w:tentative="1">
      <w:start w:val="1"/>
      <w:numFmt w:val="bullet"/>
      <w:lvlText w:val=""/>
      <w:lvlJc w:val="left"/>
      <w:pPr>
        <w:tabs>
          <w:tab w:val="num" w:pos="7254"/>
        </w:tabs>
        <w:ind w:left="7254" w:hanging="360"/>
      </w:pPr>
      <w:rPr>
        <w:rFonts w:ascii="Wingdings 3" w:hAnsi="Wingdings 3" w:hint="default"/>
      </w:rPr>
    </w:lvl>
  </w:abstractNum>
  <w:abstractNum w:abstractNumId="31" w15:restartNumberingAfterBreak="0">
    <w:nsid w:val="4F3C69DE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CB52CE"/>
    <w:multiLevelType w:val="hybridMultilevel"/>
    <w:tmpl w:val="D8EC95B6"/>
    <w:lvl w:ilvl="0" w:tplc="E7DA1E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688F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549F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1A48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5C7C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E43F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363D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5495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7CC8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0D4102E"/>
    <w:multiLevelType w:val="hybridMultilevel"/>
    <w:tmpl w:val="BF74508C"/>
    <w:lvl w:ilvl="0" w:tplc="A4C25752">
      <w:start w:val="1"/>
      <w:numFmt w:val="bullet"/>
      <w:lvlText w:val=""/>
      <w:lvlJc w:val="left"/>
      <w:pPr>
        <w:tabs>
          <w:tab w:val="num" w:pos="3195"/>
        </w:tabs>
        <w:ind w:left="3195" w:hanging="360"/>
      </w:pPr>
      <w:rPr>
        <w:rFonts w:ascii="Wingdings 3" w:hAnsi="Wingdings 3" w:hint="default"/>
      </w:rPr>
    </w:lvl>
    <w:lvl w:ilvl="1" w:tplc="404AC922" w:tentative="1">
      <w:start w:val="1"/>
      <w:numFmt w:val="bullet"/>
      <w:lvlText w:val=""/>
      <w:lvlJc w:val="left"/>
      <w:pPr>
        <w:tabs>
          <w:tab w:val="num" w:pos="3915"/>
        </w:tabs>
        <w:ind w:left="3915" w:hanging="360"/>
      </w:pPr>
      <w:rPr>
        <w:rFonts w:ascii="Wingdings 3" w:hAnsi="Wingdings 3" w:hint="default"/>
      </w:rPr>
    </w:lvl>
    <w:lvl w:ilvl="2" w:tplc="AD38C280" w:tentative="1">
      <w:start w:val="1"/>
      <w:numFmt w:val="bullet"/>
      <w:lvlText w:val=""/>
      <w:lvlJc w:val="left"/>
      <w:pPr>
        <w:tabs>
          <w:tab w:val="num" w:pos="4635"/>
        </w:tabs>
        <w:ind w:left="4635" w:hanging="360"/>
      </w:pPr>
      <w:rPr>
        <w:rFonts w:ascii="Wingdings 3" w:hAnsi="Wingdings 3" w:hint="default"/>
      </w:rPr>
    </w:lvl>
    <w:lvl w:ilvl="3" w:tplc="36B079D2" w:tentative="1">
      <w:start w:val="1"/>
      <w:numFmt w:val="bullet"/>
      <w:lvlText w:val=""/>
      <w:lvlJc w:val="left"/>
      <w:pPr>
        <w:tabs>
          <w:tab w:val="num" w:pos="5355"/>
        </w:tabs>
        <w:ind w:left="5355" w:hanging="360"/>
      </w:pPr>
      <w:rPr>
        <w:rFonts w:ascii="Wingdings 3" w:hAnsi="Wingdings 3" w:hint="default"/>
      </w:rPr>
    </w:lvl>
    <w:lvl w:ilvl="4" w:tplc="FF200B12" w:tentative="1">
      <w:start w:val="1"/>
      <w:numFmt w:val="bullet"/>
      <w:lvlText w:val=""/>
      <w:lvlJc w:val="left"/>
      <w:pPr>
        <w:tabs>
          <w:tab w:val="num" w:pos="6075"/>
        </w:tabs>
        <w:ind w:left="6075" w:hanging="360"/>
      </w:pPr>
      <w:rPr>
        <w:rFonts w:ascii="Wingdings 3" w:hAnsi="Wingdings 3" w:hint="default"/>
      </w:rPr>
    </w:lvl>
    <w:lvl w:ilvl="5" w:tplc="F4F2AFCE" w:tentative="1">
      <w:start w:val="1"/>
      <w:numFmt w:val="bullet"/>
      <w:lvlText w:val=""/>
      <w:lvlJc w:val="left"/>
      <w:pPr>
        <w:tabs>
          <w:tab w:val="num" w:pos="6795"/>
        </w:tabs>
        <w:ind w:left="6795" w:hanging="360"/>
      </w:pPr>
      <w:rPr>
        <w:rFonts w:ascii="Wingdings 3" w:hAnsi="Wingdings 3" w:hint="default"/>
      </w:rPr>
    </w:lvl>
    <w:lvl w:ilvl="6" w:tplc="F1D2C3C4" w:tentative="1">
      <w:start w:val="1"/>
      <w:numFmt w:val="bullet"/>
      <w:lvlText w:val=""/>
      <w:lvlJc w:val="left"/>
      <w:pPr>
        <w:tabs>
          <w:tab w:val="num" w:pos="7515"/>
        </w:tabs>
        <w:ind w:left="7515" w:hanging="360"/>
      </w:pPr>
      <w:rPr>
        <w:rFonts w:ascii="Wingdings 3" w:hAnsi="Wingdings 3" w:hint="default"/>
      </w:rPr>
    </w:lvl>
    <w:lvl w:ilvl="7" w:tplc="D096B44C" w:tentative="1">
      <w:start w:val="1"/>
      <w:numFmt w:val="bullet"/>
      <w:lvlText w:val=""/>
      <w:lvlJc w:val="left"/>
      <w:pPr>
        <w:tabs>
          <w:tab w:val="num" w:pos="8235"/>
        </w:tabs>
        <w:ind w:left="8235" w:hanging="360"/>
      </w:pPr>
      <w:rPr>
        <w:rFonts w:ascii="Wingdings 3" w:hAnsi="Wingdings 3" w:hint="default"/>
      </w:rPr>
    </w:lvl>
    <w:lvl w:ilvl="8" w:tplc="54B66330" w:tentative="1">
      <w:start w:val="1"/>
      <w:numFmt w:val="bullet"/>
      <w:lvlText w:val=""/>
      <w:lvlJc w:val="left"/>
      <w:pPr>
        <w:tabs>
          <w:tab w:val="num" w:pos="8955"/>
        </w:tabs>
        <w:ind w:left="8955" w:hanging="360"/>
      </w:pPr>
      <w:rPr>
        <w:rFonts w:ascii="Wingdings 3" w:hAnsi="Wingdings 3" w:hint="default"/>
      </w:rPr>
    </w:lvl>
  </w:abstractNum>
  <w:abstractNum w:abstractNumId="34" w15:restartNumberingAfterBreak="0">
    <w:nsid w:val="528E5F80"/>
    <w:multiLevelType w:val="hybridMultilevel"/>
    <w:tmpl w:val="1A78E8C6"/>
    <w:lvl w:ilvl="0" w:tplc="9788CA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A449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127B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782C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4A1F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602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C856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F8A1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E0D5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53426309"/>
    <w:multiLevelType w:val="hybridMultilevel"/>
    <w:tmpl w:val="1E88A5D6"/>
    <w:lvl w:ilvl="0" w:tplc="A02680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BE1E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D2A2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3A16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3032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44CE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40A3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9E34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1C74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56A367EC"/>
    <w:multiLevelType w:val="hybridMultilevel"/>
    <w:tmpl w:val="37ECA4AE"/>
    <w:lvl w:ilvl="0" w:tplc="306054A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76E6DD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736C7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AC09E0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200976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C48412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060DDA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A6AB90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DEE802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D44FDA"/>
    <w:multiLevelType w:val="hybridMultilevel"/>
    <w:tmpl w:val="32F8A534"/>
    <w:lvl w:ilvl="0" w:tplc="3E024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2D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6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C0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EC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43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01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A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4B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8422CD0"/>
    <w:multiLevelType w:val="hybridMultilevel"/>
    <w:tmpl w:val="DAD6C34A"/>
    <w:lvl w:ilvl="0" w:tplc="A0F2E4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FA4E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7204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068F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2EEB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9C08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7865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B6AC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9C9D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631742C9"/>
    <w:multiLevelType w:val="hybridMultilevel"/>
    <w:tmpl w:val="A888FF04"/>
    <w:lvl w:ilvl="0" w:tplc="07128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2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C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5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07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26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ED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C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763AB7"/>
    <w:multiLevelType w:val="hybridMultilevel"/>
    <w:tmpl w:val="860E26A4"/>
    <w:lvl w:ilvl="0" w:tplc="D5968B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9AE3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2487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7CC3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5A18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9856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669D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009E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C8EA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68D90879"/>
    <w:multiLevelType w:val="hybridMultilevel"/>
    <w:tmpl w:val="9A342914"/>
    <w:lvl w:ilvl="0" w:tplc="563817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A4F58A">
      <w:start w:val="274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0893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9212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FA82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2072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9494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C4A7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CEDB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69F4148D"/>
    <w:multiLevelType w:val="hybridMultilevel"/>
    <w:tmpl w:val="2152873E"/>
    <w:lvl w:ilvl="0" w:tplc="C1AC89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3813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A277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4AEA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761E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0F5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4874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2ADB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8CE3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6C932468"/>
    <w:multiLevelType w:val="hybridMultilevel"/>
    <w:tmpl w:val="D4B25DC2"/>
    <w:lvl w:ilvl="0" w:tplc="495A65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DE7C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9EC3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1051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BC5A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8C5C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34B6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DC53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B2BE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717972BC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622836"/>
    <w:multiLevelType w:val="hybridMultilevel"/>
    <w:tmpl w:val="D2AC9130"/>
    <w:lvl w:ilvl="0" w:tplc="5ED8E3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9CBC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9E80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BEDC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E433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84F6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E6A9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460A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2A81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5F45973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E03BD2"/>
    <w:multiLevelType w:val="hybridMultilevel"/>
    <w:tmpl w:val="642ECE6C"/>
    <w:lvl w:ilvl="0" w:tplc="B98CD2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58DA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6040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5C02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5EF2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9A10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F63D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8CC7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9CF7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8" w15:restartNumberingAfterBreak="0">
    <w:nsid w:val="7D5D3444"/>
    <w:multiLevelType w:val="hybridMultilevel"/>
    <w:tmpl w:val="C34A6B1A"/>
    <w:lvl w:ilvl="0" w:tplc="28A475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809A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EE08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82CC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0A5E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EC9C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9683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81E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842C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9" w15:restartNumberingAfterBreak="0">
    <w:nsid w:val="7E677F74"/>
    <w:multiLevelType w:val="hybridMultilevel"/>
    <w:tmpl w:val="C960083A"/>
    <w:lvl w:ilvl="0" w:tplc="13D67E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F454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2A75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5643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1AFD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A0A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9609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B235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008A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47"/>
  </w:num>
  <w:num w:numId="5">
    <w:abstractNumId w:val="43"/>
  </w:num>
  <w:num w:numId="6">
    <w:abstractNumId w:val="45"/>
  </w:num>
  <w:num w:numId="7">
    <w:abstractNumId w:val="17"/>
  </w:num>
  <w:num w:numId="8">
    <w:abstractNumId w:val="28"/>
  </w:num>
  <w:num w:numId="9">
    <w:abstractNumId w:val="14"/>
  </w:num>
  <w:num w:numId="10">
    <w:abstractNumId w:val="35"/>
  </w:num>
  <w:num w:numId="11">
    <w:abstractNumId w:val="20"/>
  </w:num>
  <w:num w:numId="12">
    <w:abstractNumId w:val="19"/>
  </w:num>
  <w:num w:numId="13">
    <w:abstractNumId w:val="23"/>
  </w:num>
  <w:num w:numId="14">
    <w:abstractNumId w:val="42"/>
  </w:num>
  <w:num w:numId="15">
    <w:abstractNumId w:val="36"/>
  </w:num>
  <w:num w:numId="16">
    <w:abstractNumId w:val="38"/>
  </w:num>
  <w:num w:numId="17">
    <w:abstractNumId w:val="9"/>
  </w:num>
  <w:num w:numId="18">
    <w:abstractNumId w:val="49"/>
  </w:num>
  <w:num w:numId="19">
    <w:abstractNumId w:val="32"/>
  </w:num>
  <w:num w:numId="20">
    <w:abstractNumId w:val="24"/>
  </w:num>
  <w:num w:numId="21">
    <w:abstractNumId w:val="3"/>
  </w:num>
  <w:num w:numId="22">
    <w:abstractNumId w:val="41"/>
  </w:num>
  <w:num w:numId="23">
    <w:abstractNumId w:val="16"/>
  </w:num>
  <w:num w:numId="24">
    <w:abstractNumId w:val="48"/>
  </w:num>
  <w:num w:numId="25">
    <w:abstractNumId w:val="0"/>
  </w:num>
  <w:num w:numId="26">
    <w:abstractNumId w:val="33"/>
  </w:num>
  <w:num w:numId="27">
    <w:abstractNumId w:val="26"/>
  </w:num>
  <w:num w:numId="28">
    <w:abstractNumId w:val="22"/>
  </w:num>
  <w:num w:numId="29">
    <w:abstractNumId w:val="12"/>
  </w:num>
  <w:num w:numId="30">
    <w:abstractNumId w:val="7"/>
  </w:num>
  <w:num w:numId="31">
    <w:abstractNumId w:val="34"/>
  </w:num>
  <w:num w:numId="32">
    <w:abstractNumId w:val="40"/>
  </w:num>
  <w:num w:numId="33">
    <w:abstractNumId w:val="37"/>
  </w:num>
  <w:num w:numId="34">
    <w:abstractNumId w:val="5"/>
  </w:num>
  <w:num w:numId="35">
    <w:abstractNumId w:val="13"/>
  </w:num>
  <w:num w:numId="36">
    <w:abstractNumId w:val="29"/>
  </w:num>
  <w:num w:numId="37">
    <w:abstractNumId w:val="1"/>
  </w:num>
  <w:num w:numId="38">
    <w:abstractNumId w:val="15"/>
  </w:num>
  <w:num w:numId="39">
    <w:abstractNumId w:val="27"/>
  </w:num>
  <w:num w:numId="40">
    <w:abstractNumId w:val="25"/>
  </w:num>
  <w:num w:numId="41">
    <w:abstractNumId w:val="10"/>
  </w:num>
  <w:num w:numId="42">
    <w:abstractNumId w:val="30"/>
  </w:num>
  <w:num w:numId="43">
    <w:abstractNumId w:val="39"/>
  </w:num>
  <w:num w:numId="44">
    <w:abstractNumId w:val="6"/>
  </w:num>
  <w:num w:numId="45">
    <w:abstractNumId w:val="2"/>
  </w:num>
  <w:num w:numId="46">
    <w:abstractNumId w:val="11"/>
  </w:num>
  <w:num w:numId="47">
    <w:abstractNumId w:val="21"/>
  </w:num>
  <w:num w:numId="48">
    <w:abstractNumId w:val="31"/>
  </w:num>
  <w:num w:numId="49">
    <w:abstractNumId w:val="46"/>
  </w:num>
  <w:num w:numId="50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E1"/>
    <w:rsid w:val="00000422"/>
    <w:rsid w:val="000078DE"/>
    <w:rsid w:val="000173B6"/>
    <w:rsid w:val="00017881"/>
    <w:rsid w:val="00023AC7"/>
    <w:rsid w:val="00030791"/>
    <w:rsid w:val="0004342C"/>
    <w:rsid w:val="000505A9"/>
    <w:rsid w:val="00061693"/>
    <w:rsid w:val="00077BC1"/>
    <w:rsid w:val="00086018"/>
    <w:rsid w:val="0009191D"/>
    <w:rsid w:val="000A258F"/>
    <w:rsid w:val="000A4713"/>
    <w:rsid w:val="000C6028"/>
    <w:rsid w:val="000D1356"/>
    <w:rsid w:val="000F58AB"/>
    <w:rsid w:val="00104F9B"/>
    <w:rsid w:val="00112D5B"/>
    <w:rsid w:val="001269F4"/>
    <w:rsid w:val="00126F77"/>
    <w:rsid w:val="00132670"/>
    <w:rsid w:val="00140AC3"/>
    <w:rsid w:val="001504D2"/>
    <w:rsid w:val="00170D83"/>
    <w:rsid w:val="00183E72"/>
    <w:rsid w:val="0018444F"/>
    <w:rsid w:val="001A1648"/>
    <w:rsid w:val="001A5793"/>
    <w:rsid w:val="001A686B"/>
    <w:rsid w:val="001E4DAD"/>
    <w:rsid w:val="001F0C87"/>
    <w:rsid w:val="001F4CF7"/>
    <w:rsid w:val="0020152C"/>
    <w:rsid w:val="002430C1"/>
    <w:rsid w:val="0025467F"/>
    <w:rsid w:val="00267341"/>
    <w:rsid w:val="00271F57"/>
    <w:rsid w:val="002736A7"/>
    <w:rsid w:val="00276B12"/>
    <w:rsid w:val="0027774E"/>
    <w:rsid w:val="00281012"/>
    <w:rsid w:val="0028349C"/>
    <w:rsid w:val="002903BF"/>
    <w:rsid w:val="0029176C"/>
    <w:rsid w:val="00295285"/>
    <w:rsid w:val="002A168A"/>
    <w:rsid w:val="002B0EC9"/>
    <w:rsid w:val="002C3977"/>
    <w:rsid w:val="002C7175"/>
    <w:rsid w:val="002E46EA"/>
    <w:rsid w:val="002F377F"/>
    <w:rsid w:val="003002B2"/>
    <w:rsid w:val="00316D1A"/>
    <w:rsid w:val="003178FA"/>
    <w:rsid w:val="00326087"/>
    <w:rsid w:val="00340F2E"/>
    <w:rsid w:val="00386C7D"/>
    <w:rsid w:val="003879B3"/>
    <w:rsid w:val="003B5B24"/>
    <w:rsid w:val="003C7960"/>
    <w:rsid w:val="003D2FE8"/>
    <w:rsid w:val="003D7B49"/>
    <w:rsid w:val="00404D97"/>
    <w:rsid w:val="004140DA"/>
    <w:rsid w:val="00416C98"/>
    <w:rsid w:val="004172FF"/>
    <w:rsid w:val="0042588A"/>
    <w:rsid w:val="004365A3"/>
    <w:rsid w:val="004407A1"/>
    <w:rsid w:val="00460699"/>
    <w:rsid w:val="0048394B"/>
    <w:rsid w:val="00486C45"/>
    <w:rsid w:val="004918BB"/>
    <w:rsid w:val="004B3869"/>
    <w:rsid w:val="004C028E"/>
    <w:rsid w:val="004F07A6"/>
    <w:rsid w:val="005013AE"/>
    <w:rsid w:val="005149FC"/>
    <w:rsid w:val="005210F3"/>
    <w:rsid w:val="00525D60"/>
    <w:rsid w:val="00531066"/>
    <w:rsid w:val="00546EC2"/>
    <w:rsid w:val="00547666"/>
    <w:rsid w:val="00552672"/>
    <w:rsid w:val="00555B15"/>
    <w:rsid w:val="00557942"/>
    <w:rsid w:val="00564C71"/>
    <w:rsid w:val="005C0E53"/>
    <w:rsid w:val="005F59A0"/>
    <w:rsid w:val="005F6C86"/>
    <w:rsid w:val="006242C2"/>
    <w:rsid w:val="00632ADA"/>
    <w:rsid w:val="00640369"/>
    <w:rsid w:val="00652911"/>
    <w:rsid w:val="00654664"/>
    <w:rsid w:val="006622D6"/>
    <w:rsid w:val="00674683"/>
    <w:rsid w:val="0068159B"/>
    <w:rsid w:val="006829C0"/>
    <w:rsid w:val="006A15A5"/>
    <w:rsid w:val="006A6FE6"/>
    <w:rsid w:val="006B60C1"/>
    <w:rsid w:val="006B6536"/>
    <w:rsid w:val="006D5CA2"/>
    <w:rsid w:val="006F56CD"/>
    <w:rsid w:val="007124CC"/>
    <w:rsid w:val="0071415A"/>
    <w:rsid w:val="00723F1F"/>
    <w:rsid w:val="0073073A"/>
    <w:rsid w:val="00732202"/>
    <w:rsid w:val="0074284F"/>
    <w:rsid w:val="0076658D"/>
    <w:rsid w:val="00773158"/>
    <w:rsid w:val="00780850"/>
    <w:rsid w:val="007B7106"/>
    <w:rsid w:val="007C3660"/>
    <w:rsid w:val="007C37CB"/>
    <w:rsid w:val="007D2951"/>
    <w:rsid w:val="007F3F2F"/>
    <w:rsid w:val="00835E5F"/>
    <w:rsid w:val="00847A0B"/>
    <w:rsid w:val="00860589"/>
    <w:rsid w:val="008628BC"/>
    <w:rsid w:val="00877B36"/>
    <w:rsid w:val="008A66D4"/>
    <w:rsid w:val="008B21DD"/>
    <w:rsid w:val="008B4357"/>
    <w:rsid w:val="008D3FC9"/>
    <w:rsid w:val="008D77D6"/>
    <w:rsid w:val="009047BE"/>
    <w:rsid w:val="00910E07"/>
    <w:rsid w:val="00913AB9"/>
    <w:rsid w:val="00914874"/>
    <w:rsid w:val="00927DE5"/>
    <w:rsid w:val="00935100"/>
    <w:rsid w:val="00935203"/>
    <w:rsid w:val="00950743"/>
    <w:rsid w:val="0095474C"/>
    <w:rsid w:val="00957CE1"/>
    <w:rsid w:val="009675B8"/>
    <w:rsid w:val="00987669"/>
    <w:rsid w:val="00987805"/>
    <w:rsid w:val="009961EE"/>
    <w:rsid w:val="009A5AD9"/>
    <w:rsid w:val="009B5BE6"/>
    <w:rsid w:val="009B79C2"/>
    <w:rsid w:val="009C058D"/>
    <w:rsid w:val="009C0ADF"/>
    <w:rsid w:val="009C343E"/>
    <w:rsid w:val="009C758B"/>
    <w:rsid w:val="009D650C"/>
    <w:rsid w:val="009D7C89"/>
    <w:rsid w:val="009E78DF"/>
    <w:rsid w:val="009F6F52"/>
    <w:rsid w:val="00A023D2"/>
    <w:rsid w:val="00A04F06"/>
    <w:rsid w:val="00A0677C"/>
    <w:rsid w:val="00A24515"/>
    <w:rsid w:val="00A269FE"/>
    <w:rsid w:val="00A26E17"/>
    <w:rsid w:val="00A33648"/>
    <w:rsid w:val="00A57C61"/>
    <w:rsid w:val="00A60AA7"/>
    <w:rsid w:val="00A60DAB"/>
    <w:rsid w:val="00A62376"/>
    <w:rsid w:val="00A62D1D"/>
    <w:rsid w:val="00A74BB9"/>
    <w:rsid w:val="00A90D22"/>
    <w:rsid w:val="00AA39BE"/>
    <w:rsid w:val="00AB40AA"/>
    <w:rsid w:val="00AD3373"/>
    <w:rsid w:val="00AD3FA0"/>
    <w:rsid w:val="00AD4070"/>
    <w:rsid w:val="00AE083F"/>
    <w:rsid w:val="00AE2C20"/>
    <w:rsid w:val="00AF42DD"/>
    <w:rsid w:val="00AF765B"/>
    <w:rsid w:val="00B05E45"/>
    <w:rsid w:val="00B12176"/>
    <w:rsid w:val="00B13261"/>
    <w:rsid w:val="00B151C1"/>
    <w:rsid w:val="00B17415"/>
    <w:rsid w:val="00B17E13"/>
    <w:rsid w:val="00B42A64"/>
    <w:rsid w:val="00B61563"/>
    <w:rsid w:val="00B63AA5"/>
    <w:rsid w:val="00B85941"/>
    <w:rsid w:val="00B91CB8"/>
    <w:rsid w:val="00BB0685"/>
    <w:rsid w:val="00BB76D4"/>
    <w:rsid w:val="00BC6628"/>
    <w:rsid w:val="00BF4EF0"/>
    <w:rsid w:val="00C03FF2"/>
    <w:rsid w:val="00C103AD"/>
    <w:rsid w:val="00C10EE4"/>
    <w:rsid w:val="00C16B6E"/>
    <w:rsid w:val="00C45494"/>
    <w:rsid w:val="00C52091"/>
    <w:rsid w:val="00C564C5"/>
    <w:rsid w:val="00C56DD6"/>
    <w:rsid w:val="00C658B2"/>
    <w:rsid w:val="00C820C8"/>
    <w:rsid w:val="00C97B9E"/>
    <w:rsid w:val="00CA0078"/>
    <w:rsid w:val="00CA22B2"/>
    <w:rsid w:val="00CB46F3"/>
    <w:rsid w:val="00CE2C82"/>
    <w:rsid w:val="00CE54B0"/>
    <w:rsid w:val="00CE584A"/>
    <w:rsid w:val="00CE6883"/>
    <w:rsid w:val="00D06754"/>
    <w:rsid w:val="00D11CA2"/>
    <w:rsid w:val="00D20591"/>
    <w:rsid w:val="00D2159A"/>
    <w:rsid w:val="00D24D34"/>
    <w:rsid w:val="00D43554"/>
    <w:rsid w:val="00D457DF"/>
    <w:rsid w:val="00D50F28"/>
    <w:rsid w:val="00D541BE"/>
    <w:rsid w:val="00D562E9"/>
    <w:rsid w:val="00D60D13"/>
    <w:rsid w:val="00D754E1"/>
    <w:rsid w:val="00D80BA2"/>
    <w:rsid w:val="00D84CB6"/>
    <w:rsid w:val="00DC79F3"/>
    <w:rsid w:val="00DD4DDD"/>
    <w:rsid w:val="00DD5BBB"/>
    <w:rsid w:val="00DF71E1"/>
    <w:rsid w:val="00E174C9"/>
    <w:rsid w:val="00E26495"/>
    <w:rsid w:val="00E34767"/>
    <w:rsid w:val="00E37113"/>
    <w:rsid w:val="00E551A5"/>
    <w:rsid w:val="00E5587F"/>
    <w:rsid w:val="00E66D4B"/>
    <w:rsid w:val="00E958DE"/>
    <w:rsid w:val="00E97BE9"/>
    <w:rsid w:val="00EA2CB8"/>
    <w:rsid w:val="00EB0F21"/>
    <w:rsid w:val="00EB3AED"/>
    <w:rsid w:val="00EC189E"/>
    <w:rsid w:val="00EC24B4"/>
    <w:rsid w:val="00ED0A81"/>
    <w:rsid w:val="00ED4649"/>
    <w:rsid w:val="00EE0720"/>
    <w:rsid w:val="00EE0765"/>
    <w:rsid w:val="00F02B5B"/>
    <w:rsid w:val="00F04298"/>
    <w:rsid w:val="00F05A4F"/>
    <w:rsid w:val="00F36A17"/>
    <w:rsid w:val="00F40DC0"/>
    <w:rsid w:val="00F45840"/>
    <w:rsid w:val="00F71C69"/>
    <w:rsid w:val="00F73D60"/>
    <w:rsid w:val="00F9111B"/>
    <w:rsid w:val="00F9229C"/>
    <w:rsid w:val="00F96693"/>
    <w:rsid w:val="00FA0BA5"/>
    <w:rsid w:val="00FA4A9F"/>
    <w:rsid w:val="00FB612F"/>
    <w:rsid w:val="00FC2A49"/>
    <w:rsid w:val="00FC7E99"/>
    <w:rsid w:val="00FD5046"/>
    <w:rsid w:val="00FE177B"/>
    <w:rsid w:val="00FE1EB3"/>
    <w:rsid w:val="00FE27F4"/>
    <w:rsid w:val="00FF70EB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7BE564-1F5E-4C8B-BFD0-C5D2110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E1"/>
    <w:rPr>
      <w:rFonts w:eastAsiaTheme="minorEastAsia"/>
      <w:lang w:val="sr-Latn-R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CE1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4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4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64"/>
    <w:rPr>
      <w:rFonts w:eastAsiaTheme="minorEastAsia"/>
      <w:lang w:val="sr-Latn-RS" w:eastAsia="zh-CN"/>
    </w:rPr>
  </w:style>
  <w:style w:type="paragraph" w:styleId="Footer">
    <w:name w:val="footer"/>
    <w:basedOn w:val="Normal"/>
    <w:link w:val="FooterChar"/>
    <w:uiPriority w:val="99"/>
    <w:unhideWhenUsed/>
    <w:rsid w:val="00654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64"/>
    <w:rPr>
      <w:rFonts w:eastAsiaTheme="minorEastAsia"/>
      <w:lang w:val="sr-Latn-RS" w:eastAsia="zh-CN"/>
    </w:rPr>
  </w:style>
  <w:style w:type="character" w:styleId="Emphasis">
    <w:name w:val="Emphasis"/>
    <w:basedOn w:val="DefaultParagraphFont"/>
    <w:uiPriority w:val="20"/>
    <w:qFormat/>
    <w:rsid w:val="004C0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8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9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3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9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93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1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1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6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3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6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112">
          <w:marLeft w:val="53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301">
          <w:marLeft w:val="53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211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2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52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26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44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04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61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013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0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4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8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6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43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5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1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0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0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0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46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9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3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6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4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22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42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2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1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1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51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6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4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7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6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7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3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5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1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1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CFBF-ECF6-488A-AD2F-D7EA0306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Nenadović</dc:creator>
  <cp:keywords/>
  <dc:description/>
  <cp:lastModifiedBy>Nikola Pavić</cp:lastModifiedBy>
  <cp:revision>2</cp:revision>
  <dcterms:created xsi:type="dcterms:W3CDTF">2025-05-22T10:09:00Z</dcterms:created>
  <dcterms:modified xsi:type="dcterms:W3CDTF">2025-05-22T10:09:00Z</dcterms:modified>
</cp:coreProperties>
</file>